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L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abbondanza e la carestia. Produzioni, circolazioni, consumi agro-alimentari nella romanizzazione dell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Etruria</w:t>
      </w:r>
    </w:p>
    <w:p>
      <w:pPr>
        <w:pStyle w:val="Normal.0"/>
        <w:spacing w:after="0"/>
        <w:jc w:val="both"/>
      </w:pPr>
      <w:r>
        <w:rPr>
          <w:rFonts w:ascii="Helvetica Neue" w:hAnsi="Helvetica Neue"/>
          <w:sz w:val="26"/>
          <w:szCs w:val="26"/>
          <w:rtl w:val="0"/>
          <w:lang w:val="it-IT"/>
        </w:rPr>
        <w:t>Questo contributo prende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avvio da una serie di riflessioni sugli agenti primari che fecero di Roma, fin dalle origini, una potenza anzitutto agronomica, prima ancora che politica e militare. Il ragionamento parte proprio dalla importanza annessa dagli 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it-IT"/>
        </w:rPr>
        <w:t>scriptores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dei vari periodi alla formazione agricola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di base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” </w:t>
      </w:r>
      <w:r>
        <w:rPr>
          <w:rFonts w:ascii="Helvetica Neue" w:hAnsi="Helvetica Neue"/>
          <w:sz w:val="26"/>
          <w:szCs w:val="26"/>
          <w:rtl w:val="0"/>
          <w:lang w:val="it-IT"/>
        </w:rPr>
        <w:t>del cittadino e cerca di arrivare alla definizione del ruolo di una preparazione specialistica in campo agronomico delle classi egemoni della media e della tarda 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repubblicana. Sullo sfondo di questo ragionamento, che pone il suo 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it-IT"/>
        </w:rPr>
        <w:t>focus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sull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Etruria storica,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archeologia fa emergere una massa impressionante di dati: paesaggistici, stratigrafici, tipologici, bioarcheologici, archeometrici. Alla fine rester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una domanda, che non necessariamente dovr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avere una risposta: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agricoltura romana fu, oltre che efficace, anche sostenibile?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