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6"/>
          <w:szCs w:val="26"/>
          <w:lang w:val="it-IT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La lavorazione dei cereali in un villaggio del Bronzo Antico I della Turchia: il caso di Arslantepe VI B2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6"/>
          <w:szCs w:val="26"/>
          <w:lang w:val="it-IT"/>
        </w:rPr>
      </w:pP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6"/>
          <w:szCs w:val="26"/>
          <w:lang w:val="it-IT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analisi funzionale dei manufatti usati per macinare pu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ò </w:t>
      </w:r>
      <w:r>
        <w:rPr>
          <w:rFonts w:ascii="Helvetica Neue" w:hAnsi="Helvetica Neue"/>
          <w:sz w:val="26"/>
          <w:szCs w:val="26"/>
          <w:rtl w:val="0"/>
          <w:lang w:val="it-IT"/>
        </w:rPr>
        <w:t>fornire interessanti e significative informazioni riguardo il tipo di sostanze lavorate, le modalit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processamento e sulla gestione degli spazi nei contesti archeologici.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6"/>
          <w:szCs w:val="26"/>
          <w:shd w:val="clear" w:color="auto" w:fill="ffffff"/>
          <w:lang w:val="it-IT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In questo lavoro si vuole far luce,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attraverso l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analisi delle tracce d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uso,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sulle differenti modalit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trasformazione dei cereali in un villaggio di agricoltori del Vicino Oriente della prima 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del Bronzo (Arslantepe, livello VI B2, Anatolia Orientale), privo di apparente gerarchia interna che si sviluppa attorno a un muro monumentale di fortificazione. Nel villaggio sono presenti diversi macro-lithic tools tra cui macine e macinelli-pestelli che indicano una diffusa 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di macinatura.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 xml:space="preserve">insediamento 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caratterizzato da piccole case costituite da una o due stanze centrali ampie attorno alle quali si dispongono altre stanze pi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 xml:space="preserve">piccole. Talvolta 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presente un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altra piccola stanza con un grande forno a cupola. Nella zona nord-occidentale del villaggio si trovano stanze e spazi che sembrano rappresentare un'area comune, con forni.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Alla fine di questo periodo,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insediamento venne distrutto da un incendio che ha permesso di documentare in situ una grande quantit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di reperti.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 xml:space="preserve">Un campione di macro-lithic tools provenienti da due diversi ambienti, uno relativo alla  stanza principale di una casa e un altro proveniente da una piccola stanza addossata al muro di fortificazione dove 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presente un forno sar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confrontato e integrato con i dati pubblicati provenienti da altre analisi correlate, con l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obiettivo di comprendere quali fossero le modalit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di processamento dei cereali e come questa attivit</w:t>
      </w:r>
      <w:r>
        <w:rPr>
          <w:rFonts w:ascii="Helvetica Neue" w:hAnsi="Helvetica Neue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shd w:val="clear" w:color="auto" w:fill="ffffff"/>
          <w:rtl w:val="0"/>
          <w:lang w:val="it-IT"/>
        </w:rPr>
        <w:t>di primaria importanza venisse gestita nel villaggio.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NSimSun" w:cs="NSimSun" w:hAnsi="NSimSun" w:eastAsia="NSimSun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