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Nutrizione e ricostruzione ambientale. Isotopi stabili, alimentazione e ambiente tra medioevo ed et</w:t>
      </w:r>
      <w:r>
        <w:rPr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b w:val="1"/>
          <w:bCs w:val="1"/>
          <w:sz w:val="26"/>
          <w:szCs w:val="26"/>
          <w:rtl w:val="0"/>
          <w:lang w:val="it-IT"/>
        </w:rPr>
        <w:t>contemporanea in Toscana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Negli ultimi vent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anni lo studio paleonutrizionale ha fatto enormi progressi.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applicazione delle analisi isotopiche su resti ossei e dentari, basate essenzialmente sulla determinazione del contenuto di C13 e N15, rispettivamente indicatori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apporto vegetale e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apporto proteico nella dieta, ha permesso infatti di affinare le nostre conoscenze sulle caratteristiche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alimentazione nelle popolazioni del passato e di approdare spesso a ricostruzioni socio-economiche e ambientali di grande rilevanza. </w:t>
      </w:r>
    </w:p>
    <w:p>
      <w:pPr>
        <w:pStyle w:val="Normal.0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applicazione di queste metodologie a gruppi di individui risalenti all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medievale o moderna permette di integrare i dati analitici con altre fonti biografiche, nosografiche e paleopatologiche, e quindi di contestualizzare il dato alimentare alla luce delle risorse ambientali e delle caratteristiche socio-culturali delle varie classi sociali.</w:t>
      </w:r>
    </w:p>
    <w:p>
      <w:pPr>
        <w:pStyle w:val="Normal.0"/>
      </w:pPr>
      <w:r>
        <w:rPr>
          <w:sz w:val="26"/>
          <w:szCs w:val="26"/>
          <w:rtl w:val="0"/>
          <w:lang w:val="it-IT"/>
        </w:rPr>
        <w:t>In questo contributo ci si propone di discutere alcune ricerche per cogliere le potenzialit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della fonte bioarcheologica nella ricostruzione di pratiche alimentari, colturali e culturali in relazione al cibo e alle risorse ambientali. Si tratta di studi effettuati nell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ambito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attivit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portata avanti in Toscana dalla Divisione di Paleopatologia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Universit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Pisa. Parleremo in particolare del caso studio di Badia Pozzeveri, un monastero situato a est della citt</w:t>
      </w:r>
      <w:r>
        <w:rPr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di Lucca, dove lo scavo accurato delle aree cimiteriali ha permesso di discriminare tra serie di inumazioni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XI e del XII-XIII secolo; tratteremo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alimentazione alla corte granducale medicea, attraverso i risultati delle analisi isotopiche dei membri della famiglia Granducale, ed infine dello studio di un campione del XIX secolo proveniente da Benabbio, un villaggio dell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appennino lucchese.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