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 xml:space="preserve">La rievocazione storica come medium per la divulgazione del patrimonio culturale  </w:t>
      </w:r>
    </w:p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La moderna rievocazione storica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un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attivit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finalizzata a presentare al pubblico o a chi la pratica </w:t>
      </w:r>
      <w:r>
        <w:rPr>
          <w:rFonts w:ascii="Helvetica Neue" w:hAnsi="Helvetica Neue"/>
          <w:outline w:val="0"/>
          <w:color w:val="3f3f3f"/>
          <w:sz w:val="26"/>
          <w:szCs w:val="26"/>
          <w:u w:color="3f3f3f"/>
          <w:rtl w:val="0"/>
          <w:lang w:val="it-IT"/>
          <w14:textFill>
            <w14:solidFill>
              <w14:srgbClr w14:val="3F3F3F"/>
            </w14:solidFill>
          </w14:textFill>
        </w:rPr>
        <w:t xml:space="preserve"> 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una ricostruzione il pi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possibile filologica utile a far comprendere al pubblico usi e costumi di uno specifico gruppo culturale del passato o utile a rappresentare uno specifico avvenimento storico: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una citt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romana, un porto norreno, un castello medievale, le battaglie di Canne o Waterloo. Per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rievocare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” </w:t>
      </w:r>
      <w:r>
        <w:rPr>
          <w:rFonts w:ascii="Helvetica Neue" w:hAnsi="Helvetica Neue"/>
          <w:sz w:val="26"/>
          <w:szCs w:val="26"/>
          <w:rtl w:val="0"/>
          <w:lang w:val="it-IT"/>
        </w:rPr>
        <w:t>si utilizzano oggetti, abiti e si realizzano attivit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volte a far capire i processi evolutivi e produttivi del periodo che si intende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riportare in vita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”</w:t>
      </w:r>
      <w:r>
        <w:rPr>
          <w:rFonts w:ascii="Helvetica Neue" w:hAnsi="Helvetica Neue"/>
          <w:sz w:val="26"/>
          <w:szCs w:val="26"/>
          <w:rtl w:val="0"/>
          <w:lang w:val="it-IT"/>
        </w:rPr>
        <w:t>.</w:t>
      </w:r>
    </w:p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Nel raccontare la vita degli uomini del passato, il cibo acquista un valore imprescindibile perch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é </w:t>
      </w:r>
      <w:r>
        <w:rPr>
          <w:rFonts w:ascii="Helvetica Neue" w:hAnsi="Helvetica Neue"/>
          <w:sz w:val="26"/>
          <w:szCs w:val="26"/>
          <w:rtl w:val="0"/>
          <w:lang w:val="it-IT"/>
        </w:rPr>
        <w:t>immediatamente rapportabile alle moderne abitudini quotidiane. Le usanze alimentari sono parte fondamentale della cultura materiale e immateriale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uomo, perch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é </w:t>
      </w:r>
      <w:r>
        <w:rPr>
          <w:rFonts w:ascii="Helvetica Neue" w:hAnsi="Helvetica Neue"/>
          <w:sz w:val="26"/>
          <w:szCs w:val="26"/>
          <w:rtl w:val="0"/>
          <w:lang w:val="it-IT"/>
        </w:rPr>
        <w:t>ancora pi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rtl w:val="0"/>
          <w:lang w:val="it-IT"/>
        </w:rPr>
        <w:t>che nel mondo odierno, nel mondo antico avevano una notevole importanza non solo per motivi di sussistenza ma anche per aspetti sacri, religiosi e di costume.</w:t>
      </w:r>
    </w:p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  <w:sz w:val="26"/>
          <w:szCs w:val="26"/>
          <w:u w:color="0070c0"/>
        </w:rPr>
      </w:pP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Una corretta ed efficace ricostruzione storica si fonda su un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 xml:space="preserve">attenta analisi di diverse tipologie di fonti elaborate dal mondo scientifico e richiede un costante aggiornamento. L'obiettivo 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ottenere una comunicazione chiara e precisa dei dati, evitando la diffusione di modelli distorti derivanti dall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immaginario collettivo o da interpretazioni imprecise da parte di personale non specializzato. Questa forma di comunicazione storica si pone come un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 xml:space="preserve">esperienza immersiva in grado di far </w:t>
      </w:r>
      <w:r>
        <w:rPr>
          <w:rFonts w:ascii="Helvetica Neue" w:hAnsi="Helvetica Neue"/>
          <w:sz w:val="26"/>
          <w:szCs w:val="26"/>
          <w:rtl w:val="0"/>
          <w:lang w:val="it-IT"/>
        </w:rPr>
        <w:t>rivivere e quindi comprendere pi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facilmente 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quelli che erano gli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aspetti pi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importanti della cultura presa in esame facilitando la comprensione e l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apprendimento attraverso un coinvolgimento attivo.</w:t>
      </w:r>
    </w:p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  <w:sz w:val="26"/>
          <w:szCs w:val="26"/>
          <w:u w:color="0070c0"/>
        </w:rPr>
      </w:pP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Il contributo si propone, quindi, di raccontare l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esperienza decennale di un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>associazione che crede in una comunicazione efficace e virtuosa che alle basi ha una costante ricerca e un costante dialogo con la comunit</w:t>
      </w:r>
      <w:r>
        <w:rPr>
          <w:rFonts w:ascii="Helvetica Neue" w:hAnsi="Helvetica Neue" w:hint="default"/>
          <w:sz w:val="26"/>
          <w:szCs w:val="26"/>
          <w:u w:color="0070c0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u w:color="0070c0"/>
          <w:rtl w:val="0"/>
          <w:lang w:val="it-IT"/>
        </w:rPr>
        <w:t xml:space="preserve">scientifica e che mira a far riappropriare i cittadini di una cultura di cui devono e possono essere custodi.  </w:t>
      </w:r>
    </w:p>
    <w:p>
      <w:pPr>
        <w:pStyle w:val="Normal.0"/>
      </w:pPr>
    </w:p>
    <w:p>
      <w:pPr>
        <w:pStyle w:val="Normal.0"/>
        <w:rPr>
          <w:outline w:val="0"/>
          <w:color w:val="1155cc"/>
          <w:u w:val="single" w:color="1155cc"/>
          <w14:textFill>
            <w14:solidFill>
              <w14:srgbClr w14:val="1155CC"/>
            </w14:solidFill>
          </w14:textFill>
        </w:rPr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