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La Cartiera Latina sull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Appia antica a Roma: da spazio della produzione a patrimonio della comunit</w:t>
      </w:r>
      <w:r>
        <w:rPr>
          <w:rFonts w:ascii="Helvetica Neue" w:hAnsi="Helvetica Neue" w:hint="default"/>
          <w:b w:val="1"/>
          <w:bCs w:val="1"/>
          <w:sz w:val="26"/>
          <w:szCs w:val="26"/>
          <w:rtl w:val="0"/>
          <w:lang w:val="it-IT"/>
        </w:rPr>
        <w:t>à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.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>Importante struttura di archeologia industriale</w:t>
      </w:r>
      <w:r>
        <w:rPr>
          <w:rFonts w:ascii="Helvetica Neue" w:hAnsi="Helvetica Neue"/>
          <w:i w:val="1"/>
          <w:iCs w:val="1"/>
          <w:sz w:val="26"/>
          <w:szCs w:val="26"/>
          <w:rtl w:val="0"/>
          <w:lang w:val="it-IT"/>
        </w:rPr>
        <w:t xml:space="preserve">, </w:t>
      </w:r>
      <w:r>
        <w:rPr>
          <w:rFonts w:ascii="Helvetica Neue" w:hAnsi="Helvetica Neue"/>
          <w:sz w:val="26"/>
          <w:szCs w:val="26"/>
          <w:rtl w:val="0"/>
          <w:lang w:val="it-IT"/>
        </w:rPr>
        <w:t>significativa testimonianza dell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utilizzo delle risorse naturali per fini produttivi nel corso dei secoli, lo stabilimento della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Cartiera Latina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”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localizzato lungo il II miglio della via Appia antica, spina dorsale di un importante Parco archeologico e naturalistico, che dal centro di Roma si spinge verso la campagna.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rtl w:val="0"/>
          <w:lang w:val="it-IT"/>
        </w:rPr>
        <w:t xml:space="preserve">Lo stabilimento ha prodotto carta dai primi anni del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‘</w:t>
      </w:r>
      <w:r>
        <w:rPr>
          <w:rFonts w:ascii="Helvetica Neue" w:hAnsi="Helvetica Neue"/>
          <w:sz w:val="26"/>
          <w:szCs w:val="26"/>
          <w:rtl w:val="0"/>
          <w:lang w:val="it-IT"/>
        </w:rPr>
        <w:t>900 al 1986 e dal 1998 ospita nei suoi spazi la sede dell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Ente Parco Regionale dell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Appia antica, e un centro culturale polifunzionale. 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Helvetica Neue" w:cs="Helvetica Neue" w:hAnsi="Helvetica Neue" w:eastAsia="Helvetica Neue"/>
          <w:kern w:val="1"/>
          <w:sz w:val="26"/>
          <w:szCs w:val="26"/>
        </w:rPr>
      </w:pP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Le tante storie che il sito racconta partono dall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et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romana, quando l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Almone, </w:t>
      </w:r>
      <w:r>
        <w:rPr>
          <w:rFonts w:ascii="Helvetica Neue" w:hAnsi="Helvetica Neue"/>
          <w:sz w:val="26"/>
          <w:szCs w:val="26"/>
          <w:rtl w:val="0"/>
          <w:lang w:val="it-IT"/>
        </w:rPr>
        <w:t>corso d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>acqua dalla forte valenza rituale,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 incide profondamente il paesaggio di questo territorio. 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Helvetica Neue" w:cs="Helvetica Neue" w:hAnsi="Helvetica Neue" w:eastAsia="Helvetica Neue"/>
          <w:kern w:val="1"/>
          <w:sz w:val="26"/>
          <w:szCs w:val="26"/>
        </w:rPr>
      </w:pP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L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et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medievale e poi l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et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moderna scoprono l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Almone risorsa fondamentale per le attivit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agricole e artigianali: forza motrice per opifici idraulici, come mulini per i cereali, valche per la follatura della lana e valche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da carta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”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. All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inizio del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‘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900 nel sito s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impianta una moderna fabbrica di carta: la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Cartiera Appia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”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, poi dal 1929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Cartiera Latina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”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.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kern w:val="1"/>
          <w:sz w:val="26"/>
          <w:szCs w:val="26"/>
        </w:rPr>
      </w:pP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In quanto edificio di interesse storico, in area fortemente vincolata, a seguito di un procedimento di esproprio divenuto esecutivo nel 1971, la Cartiera Latina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entrata a far parte del demanio comunale.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kern w:val="1"/>
          <w:sz w:val="26"/>
          <w:szCs w:val="26"/>
        </w:rPr>
      </w:pP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Un Accordo di Programma tra Comune di Roma e Regione Lazio, sottoscritto nel 1996, ha determinato la storia successiva della Cartiera Latina, come sede del Parco Regionale dell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Appia antica e dei servizi di accoglienza: una sala conferenze, due sale per mostre, la Biblioteca della Cartiera Latina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Fabrizio Giucca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 xml:space="preserve">” 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e laboratori didattici. 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Helvetica Neue" w:cs="Helvetica Neue" w:hAnsi="Helvetica Neue" w:eastAsia="Helvetica Neue"/>
          <w:kern w:val="1"/>
          <w:sz w:val="26"/>
          <w:szCs w:val="26"/>
        </w:rPr>
      </w:pP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La memoria delle antiche produzioni e degli uomini che in questo luogo hanno lavorato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 xml:space="preserve">è 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stata preservata, anche attraverso un percorso multimediale. </w:t>
      </w:r>
    </w:p>
    <w:p>
      <w:pPr>
        <w:pStyle w:val="Normal.0"/>
        <w:widowControl w:val="0"/>
        <w:suppressAutoHyphens w:val="1"/>
        <w:spacing w:after="0" w:line="240" w:lineRule="auto"/>
        <w:jc w:val="both"/>
        <w:rPr>
          <w:rFonts w:ascii="Helvetica Neue" w:cs="Helvetica Neue" w:hAnsi="Helvetica Neue" w:eastAsia="Helvetica Neue"/>
          <w:sz w:val="26"/>
          <w:szCs w:val="26"/>
        </w:rPr>
      </w:pP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Il Parco Regionale dell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Appia antica deve la sua stessa istituzione alla volont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à “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>dal basso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”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, dei tanti cittadini riunitisi fin dagli anni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80 del </w:t>
      </w:r>
      <w:r>
        <w:rPr>
          <w:rFonts w:ascii="Helvetica Neue" w:hAnsi="Helvetica Neue" w:hint="default"/>
          <w:kern w:val="1"/>
          <w:sz w:val="26"/>
          <w:szCs w:val="26"/>
          <w:rtl w:val="0"/>
          <w:lang w:val="it-IT"/>
        </w:rPr>
        <w:t>‘</w:t>
      </w:r>
      <w:r>
        <w:rPr>
          <w:rFonts w:ascii="Helvetica Neue" w:hAnsi="Helvetica Neue"/>
          <w:kern w:val="1"/>
          <w:sz w:val="26"/>
          <w:szCs w:val="26"/>
          <w:rtl w:val="0"/>
          <w:lang w:val="it-IT"/>
        </w:rPr>
        <w:t xml:space="preserve">900 in associazioni, per tutelare i grandi valori storici e ambientali di questo territorio. La Cartiera Latina, sede del Parco, intende concorrere alla </w:t>
      </w:r>
      <w:r>
        <w:rPr>
          <w:rFonts w:ascii="Helvetica Neue" w:hAnsi="Helvetica Neue"/>
          <w:sz w:val="26"/>
          <w:szCs w:val="26"/>
          <w:rtl w:val="0"/>
          <w:lang w:val="it-IT"/>
        </w:rPr>
        <w:t>realizzazione del Parco dell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’</w:t>
      </w:r>
      <w:r>
        <w:rPr>
          <w:rFonts w:ascii="Helvetica Neue" w:hAnsi="Helvetica Neue"/>
          <w:sz w:val="26"/>
          <w:szCs w:val="26"/>
          <w:rtl w:val="0"/>
          <w:lang w:val="it-IT"/>
        </w:rPr>
        <w:t xml:space="preserve">Appia antica come 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“</w:t>
      </w:r>
      <w:r>
        <w:rPr>
          <w:rFonts w:ascii="Helvetica Neue" w:hAnsi="Helvetica Neue"/>
          <w:sz w:val="26"/>
          <w:szCs w:val="26"/>
          <w:rtl w:val="0"/>
          <w:lang w:val="it-IT"/>
        </w:rPr>
        <w:t>comunit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 xml:space="preserve">à </w:t>
      </w:r>
      <w:r>
        <w:rPr>
          <w:rFonts w:ascii="Helvetica Neue" w:hAnsi="Helvetica Neue"/>
          <w:sz w:val="26"/>
          <w:szCs w:val="26"/>
          <w:rtl w:val="0"/>
          <w:lang w:val="it-IT"/>
        </w:rPr>
        <w:t>di eredit</w:t>
      </w:r>
      <w:r>
        <w:rPr>
          <w:rFonts w:ascii="Helvetica Neue" w:hAnsi="Helvetica Neue" w:hint="default"/>
          <w:sz w:val="26"/>
          <w:szCs w:val="26"/>
          <w:rtl w:val="0"/>
          <w:lang w:val="it-IT"/>
        </w:rPr>
        <w:t>à”</w:t>
      </w:r>
      <w:r>
        <w:rPr>
          <w:rFonts w:ascii="Helvetica Neue" w:hAnsi="Helvetica Neue"/>
          <w:sz w:val="26"/>
          <w:szCs w:val="26"/>
          <w:rtl w:val="0"/>
          <w:lang w:val="it-IT"/>
        </w:rPr>
        <w:t>, secondo i principi della Convenzione di Faro.</w:t>
      </w:r>
    </w:p>
    <w:p>
      <w:pPr>
        <w:pStyle w:val="Normal.0"/>
        <w:widowControl w:val="0"/>
        <w:suppressAutoHyphens w:val="1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footnote text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360" w:lineRule="auto"/>
        <w:jc w:val="both"/>
        <w:rPr>
          <w:rFonts w:ascii="Times New Roman" w:cs="Times New Roman" w:hAnsi="Times New Roman" w:eastAsia="Times New Roman"/>
          <w:kern w:val="1"/>
          <w:sz w:val="24"/>
          <w:szCs w:val="24"/>
        </w:rPr>
      </w:pPr>
    </w:p>
    <w:p>
      <w:pPr>
        <w:pStyle w:val="Normal.0"/>
        <w:widowControl w:val="0"/>
        <w:suppressAutoHyphens w:val="1"/>
        <w:spacing w:after="0" w:line="360" w:lineRule="auto"/>
        <w:jc w:val="both"/>
        <w:rPr>
          <w:rFonts w:ascii="Times New Roman" w:cs="Times New Roman" w:hAnsi="Times New Roman" w:eastAsia="Times New Roman"/>
          <w:kern w:val="1"/>
          <w:sz w:val="24"/>
          <w:szCs w:val="24"/>
        </w:rPr>
      </w:pPr>
    </w:p>
    <w:p>
      <w:pPr>
        <w:pStyle w:val="Normal.0"/>
        <w:spacing w:after="0" w:line="360" w:lineRule="auto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